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3016B382">
      <w:pPr>
        <w:pStyle w:val="style0"/>
        <w:spacing w:lineRule="auto" w:line="360"/>
        <w:jc w:val="left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71F149A1">
      <w:pPr>
        <w:pStyle w:val="style0"/>
        <w:spacing w:before="156" w:beforeLines="50" w:lineRule="auto" w:line="360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850"/>
        <w:gridCol w:w="851"/>
        <w:gridCol w:w="3383"/>
      </w:tblGrid>
      <w:tr w14:paraId="227F3E0E">
        <w:trPr>
          <w:trHeight w:val="433" w:hRule="atLeast"/>
          <w:jc w:val="center"/>
        </w:trPr>
        <w:tc>
          <w:tcPr>
            <w:tcW w:w="2025" w:type="dxa"/>
            <w:tcBorders/>
            <w:vAlign w:val="center"/>
          </w:tcPr>
          <w:p w14:paraId="50A2A9A9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10" w:type="dxa"/>
            <w:gridSpan w:val="4"/>
            <w:tcBorders/>
            <w:vAlign w:val="center"/>
          </w:tcPr>
          <w:p w14:paraId="0B53A21F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沿海内河远程驾控船舶智能感知系统设计要求</w:t>
            </w:r>
          </w:p>
        </w:tc>
      </w:tr>
      <w:tr w14:paraId="02172FEA">
        <w:tblPrEx/>
        <w:trPr>
          <w:trHeight w:val="425" w:hRule="atLeast"/>
          <w:jc w:val="center"/>
        </w:trPr>
        <w:tc>
          <w:tcPr>
            <w:tcW w:w="2025" w:type="dxa"/>
            <w:tcBorders/>
            <w:vAlign w:val="center"/>
          </w:tcPr>
          <w:p w14:paraId="067C5ACF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10" w:type="dxa"/>
            <w:gridSpan w:val="4"/>
            <w:tcBorders/>
            <w:vAlign w:val="center"/>
          </w:tcPr>
          <w:p w14:paraId="6BB461C2">
            <w:pPr>
              <w:pStyle w:val="style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Design </w:t>
            </w:r>
            <w:r>
              <w:rPr>
                <w:rFonts w:hint="eastAsia"/>
                <w:sz w:val="24"/>
              </w:rPr>
              <w:t>r</w:t>
            </w:r>
            <w:r>
              <w:rPr>
                <w:sz w:val="24"/>
              </w:rPr>
              <w:t xml:space="preserve">equirements for the </w:t>
            </w: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 xml:space="preserve">ntelligent </w:t>
            </w:r>
            <w:r>
              <w:rPr>
                <w:rFonts w:hint="eastAsia"/>
                <w:sz w:val="24"/>
              </w:rPr>
              <w:t>s</w:t>
            </w:r>
            <w:r>
              <w:rPr>
                <w:sz w:val="24"/>
              </w:rPr>
              <w:t xml:space="preserve">ensing </w:t>
            </w:r>
            <w:r>
              <w:rPr>
                <w:rFonts w:hint="eastAsia"/>
                <w:sz w:val="24"/>
              </w:rPr>
              <w:t>s</w:t>
            </w:r>
            <w:r>
              <w:rPr>
                <w:sz w:val="24"/>
              </w:rPr>
              <w:t xml:space="preserve">ystem of </w:t>
            </w:r>
            <w:r>
              <w:rPr>
                <w:rFonts w:hint="eastAsia"/>
                <w:sz w:val="24"/>
              </w:rPr>
              <w:t>c</w:t>
            </w:r>
            <w:r>
              <w:rPr>
                <w:sz w:val="24"/>
              </w:rPr>
              <w:t xml:space="preserve">oastal and </w:t>
            </w: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 xml:space="preserve">nland </w:t>
            </w:r>
            <w:r>
              <w:rPr>
                <w:rFonts w:hint="eastAsia"/>
                <w:sz w:val="24"/>
              </w:rPr>
              <w:t>r</w:t>
            </w:r>
            <w:r>
              <w:rPr>
                <w:sz w:val="24"/>
              </w:rPr>
              <w:t>emote-</w:t>
            </w:r>
            <w:r>
              <w:rPr>
                <w:rFonts w:hint="eastAsia"/>
                <w:sz w:val="24"/>
              </w:rPr>
              <w:t>c</w:t>
            </w:r>
            <w:r>
              <w:rPr>
                <w:sz w:val="24"/>
              </w:rPr>
              <w:t xml:space="preserve">ontrolled </w:t>
            </w:r>
            <w:r>
              <w:rPr>
                <w:rFonts w:hint="eastAsia"/>
                <w:sz w:val="24"/>
              </w:rPr>
              <w:t>v</w:t>
            </w:r>
            <w:r>
              <w:rPr>
                <w:sz w:val="24"/>
              </w:rPr>
              <w:t>essels</w:t>
            </w:r>
          </w:p>
        </w:tc>
      </w:tr>
      <w:tr w14:paraId="1D6B8491">
        <w:tblPrEx/>
        <w:trPr>
          <w:trHeight w:val="336" w:hRule="atLeast"/>
          <w:jc w:val="center"/>
        </w:trPr>
        <w:tc>
          <w:tcPr>
            <w:tcW w:w="2025" w:type="dxa"/>
            <w:tcBorders/>
            <w:vAlign w:val="center"/>
          </w:tcPr>
          <w:p w14:paraId="4E95CECB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/>
            <w:vAlign w:val="center"/>
          </w:tcPr>
          <w:p w14:paraId="642B10B9">
            <w:pPr>
              <w:pStyle w:val="style0"/>
              <w:jc w:val="center"/>
              <w:rPr>
                <w:sz w:val="24"/>
              </w:rPr>
            </w:pPr>
            <w:r>
              <w:rPr>
                <w:rFonts w:ascii="MS Mincho" w:cs="MS Mincho" w:eastAsia="MS Mincho" w:hAnsi="MS Mincho" w:hint="eastAsia"/>
                <w:sz w:val="24"/>
              </w:rPr>
              <w:sym w:font="Wingdings 2" w:char="f0a2"/>
            </w:r>
            <w:r>
              <w:rPr>
                <w:rFonts w:hAnsi="宋体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2"/>
            <w:tcBorders/>
            <w:vAlign w:val="center"/>
          </w:tcPr>
          <w:p w14:paraId="632D64EB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tcBorders/>
            <w:vAlign w:val="center"/>
          </w:tcPr>
          <w:p w14:paraId="5F8571CC">
            <w:pPr>
              <w:pStyle w:val="style0"/>
              <w:rPr>
                <w:sz w:val="24"/>
              </w:rPr>
            </w:pPr>
          </w:p>
        </w:tc>
      </w:tr>
      <w:tr w14:paraId="5D6C5FA8">
        <w:tblPrEx/>
        <w:trPr>
          <w:trHeight w:val="425" w:hRule="atLeast"/>
          <w:jc w:val="center"/>
        </w:trPr>
        <w:tc>
          <w:tcPr>
            <w:tcW w:w="2025" w:type="dxa"/>
            <w:tcBorders/>
            <w:vAlign w:val="center"/>
          </w:tcPr>
          <w:p w14:paraId="40C95FE7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26" w:type="dxa"/>
            <w:tcBorders/>
            <w:vAlign w:val="center"/>
          </w:tcPr>
          <w:p w14:paraId="087107B9"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/</w:t>
            </w:r>
          </w:p>
        </w:tc>
        <w:tc>
          <w:tcPr>
            <w:tcW w:w="1701" w:type="dxa"/>
            <w:gridSpan w:val="2"/>
            <w:tcBorders/>
            <w:vAlign w:val="center"/>
          </w:tcPr>
          <w:p w14:paraId="7341FFC6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tcBorders/>
            <w:vAlign w:val="center"/>
          </w:tcPr>
          <w:p w14:paraId="45FE3847">
            <w:pPr>
              <w:pStyle w:val="style0"/>
              <w:rPr>
                <w:rFonts w:hAnsi="宋体" w:hint="eastAsia"/>
                <w:sz w:val="24"/>
              </w:rPr>
            </w:pPr>
            <w:r>
              <w:rPr>
                <w:rFonts w:ascii="MS Mincho" w:cs="MS Mincho" w:eastAsia="MS Mincho" w:hAnsi="MS Mincho" w:hint="eastAsia"/>
                <w:sz w:val="24"/>
              </w:rPr>
              <w:sym w:font="Wingdings 2" w:char="f0a2"/>
            </w:r>
            <w:r>
              <w:rPr>
                <w:rFonts w:hAnsi="宋体" w:hint="eastAsia"/>
                <w:sz w:val="24"/>
              </w:rPr>
              <w:t>12个月   □18个月</w:t>
            </w:r>
          </w:p>
          <w:p w14:paraId="44C1E49E">
            <w:pPr>
              <w:pStyle w:val="style0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□其他</w:t>
            </w:r>
            <w:r>
              <w:rPr>
                <w:rFonts w:hAnsi="宋体" w:hint="eastAsia"/>
                <w:sz w:val="24"/>
                <w:u w:val="single"/>
              </w:rPr>
              <w:t xml:space="preserve">         </w:t>
            </w:r>
          </w:p>
        </w:tc>
      </w:tr>
      <w:tr w14:paraId="227027C2">
        <w:tblPrEx/>
        <w:trPr>
          <w:trHeight w:val="661" w:hRule="atLeast"/>
          <w:jc w:val="center"/>
        </w:trPr>
        <w:tc>
          <w:tcPr>
            <w:tcW w:w="2025" w:type="dxa"/>
            <w:tcBorders/>
            <w:vAlign w:val="center"/>
          </w:tcPr>
          <w:p w14:paraId="219E9D34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4"/>
            <w:tcBorders/>
            <w:vAlign w:val="center"/>
          </w:tcPr>
          <w:p w14:paraId="5D01A051">
            <w:pPr>
              <w:pStyle w:val="style0"/>
              <w:rPr>
                <w:rFonts w:hAnsi="宋体"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中国船舶集团有限公司第七〇七研究所、中国船舶集团有限公司第七零七研究所九江分部、武汉理工大学、上海市船舶与海洋工程学会</w:t>
            </w:r>
          </w:p>
        </w:tc>
      </w:tr>
      <w:tr w14:paraId="54C993DC">
        <w:tblPrEx/>
        <w:trPr>
          <w:trHeight w:val="277" w:hRule="atLeast"/>
          <w:jc w:val="center"/>
        </w:trPr>
        <w:tc>
          <w:tcPr>
            <w:tcW w:w="2025" w:type="dxa"/>
            <w:tcBorders/>
            <w:vAlign w:val="center"/>
          </w:tcPr>
          <w:p w14:paraId="43B1F945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/>
            <w:vAlign w:val="center"/>
          </w:tcPr>
          <w:p w14:paraId="1DB4A3F6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韦一</w:t>
            </w:r>
          </w:p>
        </w:tc>
        <w:tc>
          <w:tcPr>
            <w:tcW w:w="850" w:type="dxa"/>
            <w:tcBorders/>
            <w:vAlign w:val="center"/>
          </w:tcPr>
          <w:p w14:paraId="3602CA51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2"/>
            <w:tcBorders/>
            <w:vAlign w:val="center"/>
          </w:tcPr>
          <w:p w14:paraId="241856E0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天津市红桥区丁字沽一号路268号</w:t>
            </w:r>
          </w:p>
        </w:tc>
      </w:tr>
      <w:tr w14:paraId="54DB8496">
        <w:tblPrEx/>
        <w:trPr>
          <w:trHeight w:val="239" w:hRule="atLeast"/>
          <w:jc w:val="center"/>
        </w:trPr>
        <w:tc>
          <w:tcPr>
            <w:tcW w:w="2025" w:type="dxa"/>
            <w:tcBorders/>
            <w:vAlign w:val="center"/>
          </w:tcPr>
          <w:p w14:paraId="543A3982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/>
            <w:vAlign w:val="center"/>
          </w:tcPr>
          <w:p w14:paraId="58BD2138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18845610557</w:t>
            </w:r>
          </w:p>
        </w:tc>
        <w:tc>
          <w:tcPr>
            <w:tcW w:w="850" w:type="dxa"/>
            <w:tcBorders/>
            <w:vAlign w:val="center"/>
          </w:tcPr>
          <w:p w14:paraId="6AB037E2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2"/>
            <w:tcBorders/>
            <w:vAlign w:val="center"/>
          </w:tcPr>
          <w:p w14:paraId="055CD171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17612214484@163.com</w:t>
            </w:r>
          </w:p>
        </w:tc>
      </w:tr>
      <w:tr w14:paraId="52F8F90A">
        <w:tblPrEx/>
        <w:trPr>
          <w:trHeight w:val="1102" w:hRule="atLeast"/>
          <w:jc w:val="center"/>
        </w:trPr>
        <w:tc>
          <w:tcPr>
            <w:tcW w:w="2025" w:type="dxa"/>
            <w:tcBorders/>
            <w:vAlign w:val="center"/>
          </w:tcPr>
          <w:p w14:paraId="047A529A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14:paraId="63BF84D5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10" w:type="dxa"/>
            <w:gridSpan w:val="4"/>
            <w:tcBorders/>
          </w:tcPr>
          <w:p w14:paraId="4557C3A2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面向远程驾控船舶的感知相关标准目前仍为空白，</w:t>
            </w:r>
            <w:r>
              <w:rPr>
                <w:sz w:val="24"/>
              </w:rPr>
              <w:t>为满足</w:t>
            </w:r>
            <w:r>
              <w:rPr>
                <w:rFonts w:hint="eastAsia"/>
                <w:sz w:val="24"/>
              </w:rPr>
              <w:t>沿海内河船舶的</w:t>
            </w:r>
            <w:r>
              <w:rPr>
                <w:sz w:val="24"/>
              </w:rPr>
              <w:t>发展需求，结合</w:t>
            </w:r>
            <w:r>
              <w:rPr>
                <w:rFonts w:hint="eastAsia"/>
                <w:sz w:val="24"/>
              </w:rPr>
              <w:t>目前远程驾控系统研制及其他科研专项的研究成果，提出沿海内河远程驾控船舶智能感知系统设计要求，有利于推动沿海内河相关智能技术标准化与行业规范化，提升我国沿海内河船舶的智能化水平。</w:t>
            </w:r>
          </w:p>
        </w:tc>
      </w:tr>
      <w:tr w14:paraId="663DF42F">
        <w:tblPrEx/>
        <w:trPr>
          <w:trHeight w:val="903" w:hRule="atLeast"/>
          <w:jc w:val="center"/>
        </w:trPr>
        <w:tc>
          <w:tcPr>
            <w:tcW w:w="2025" w:type="dxa"/>
            <w:tcBorders/>
            <w:vAlign w:val="center"/>
          </w:tcPr>
          <w:p w14:paraId="3476D0A5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标准必要性和</w:t>
            </w:r>
          </w:p>
          <w:p w14:paraId="4D2F25E1">
            <w:pPr>
              <w:pStyle w:val="style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10" w:type="dxa"/>
            <w:gridSpan w:val="4"/>
            <w:tcBorders/>
          </w:tcPr>
          <w:p w14:paraId="24CCFDB5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沿海内河远程驾控船舶对船舶感知能力提出高要求，随着沿海内河智能系统快速发展普及，船舶感知系统作为智能系统重要组成部分，其设计及验证缺少统一规范，制约沿海内河船舶感知技术发展，因此亟需出台相关规范，确保沿海内河船舶感知系统设计规范化，保障系统实际使用时的安全性、可靠性。</w:t>
            </w:r>
          </w:p>
          <w:p w14:paraId="672DE1D7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本标准参考国内外相关标准规范，覆盖沿海内河远程驾控船舶智能感知系统的设计依据、设计原则、设计内容、设计程序、设计方法和验证的要求，适用于</w:t>
            </w:r>
            <w:r w:rsidR="2A2A74D3">
              <w:rPr>
                <w:rFonts w:hint="eastAsia"/>
                <w:sz w:val="24"/>
                <w:lang w:eastAsia="zh-CN"/>
              </w:rPr>
              <w:t>沿海</w:t>
            </w:r>
            <w:r>
              <w:rPr>
                <w:rFonts w:hint="eastAsia"/>
                <w:sz w:val="24"/>
              </w:rPr>
              <w:t>内河船舶智能感知系统的设计工作，具有可行性。</w:t>
            </w:r>
          </w:p>
        </w:tc>
      </w:tr>
      <w:tr w14:paraId="6E21DB45">
        <w:tblPrEx/>
        <w:trPr>
          <w:trHeight w:val="581" w:hRule="atLeast"/>
          <w:jc w:val="center"/>
        </w:trPr>
        <w:tc>
          <w:tcPr>
            <w:tcW w:w="2025" w:type="dxa"/>
            <w:tcBorders/>
            <w:vAlign w:val="center"/>
          </w:tcPr>
          <w:p w14:paraId="71CD8B4F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国内外情况</w:t>
            </w:r>
          </w:p>
          <w:p w14:paraId="7566468A">
            <w:pPr>
              <w:pStyle w:val="style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简要说明</w:t>
            </w:r>
          </w:p>
        </w:tc>
        <w:tc>
          <w:tcPr>
            <w:tcW w:w="7210" w:type="dxa"/>
            <w:gridSpan w:val="4"/>
            <w:tcBorders/>
          </w:tcPr>
          <w:p w14:paraId="6FAD0B40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国际上，IMO发布的MASS规则和ISO发布的智能船舶标准有部分提及船舶感知系统，但均未覆盖沿海内河船舶远程驾控场景，其标准化需进一步推进。</w:t>
            </w:r>
          </w:p>
          <w:p w14:paraId="7AB2A9A0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在国内，已发布多项涉及智能船舶感知系统的相关标准，如CCS《智能船舶规范》，涵盖感知设备、通信协议等，但未提及感知系统的验证手段，中华人民共和国海事局发布的《船舶智能监控系统技术指南》为安装船舶智能监控系统提供性能标准，确保该系统能够为船舶航行、停泊、作业安全提供技术支撑，防范潜在风险，减少人为因素导致的事故，但其主要针对摄像头传感器，未提及感知系统所需的其他传感器。</w:t>
            </w:r>
          </w:p>
          <w:p w14:paraId="5C957E79">
            <w:pPr>
              <w:pStyle w:val="style0"/>
              <w:ind w:firstLine="480" w:firstLineChars="200"/>
              <w:rPr>
                <w:rFonts w:hint="eastAsia"/>
                <w:sz w:val="24"/>
              </w:rPr>
            </w:pPr>
            <w:r w:rsidR="2FF79C0B">
              <w:rPr>
                <w:rFonts w:hint="eastAsia"/>
                <w:sz w:val="24"/>
              </w:rPr>
              <w:t>本标准在参考以上标准的基础上，进一步对</w:t>
            </w:r>
            <w:r w:rsidR="0A9C147D">
              <w:rPr>
                <w:rFonts w:hint="eastAsia"/>
                <w:sz w:val="24"/>
                <w:lang w:eastAsia="zh-CN"/>
              </w:rPr>
              <w:t>沿海</w:t>
            </w:r>
            <w:r w:rsidR="66750FC2">
              <w:rPr>
                <w:rFonts w:hint="eastAsia"/>
                <w:sz w:val="24"/>
                <w:lang w:eastAsia="zh-CN"/>
              </w:rPr>
              <w:t>内河</w:t>
            </w:r>
            <w:r w:rsidR="57E60331">
              <w:rPr>
                <w:rFonts w:hint="eastAsia"/>
                <w:sz w:val="24"/>
                <w:lang w:eastAsia="zh-CN"/>
              </w:rPr>
              <w:t>远程</w:t>
            </w:r>
            <w:r w:rsidR="ECF6D8AA">
              <w:rPr>
                <w:rFonts w:hint="eastAsia"/>
                <w:sz w:val="24"/>
                <w:lang w:eastAsia="zh-CN"/>
              </w:rPr>
              <w:t>驾控</w:t>
            </w:r>
            <w:r w:rsidR="909254E8">
              <w:rPr>
                <w:rFonts w:hint="eastAsia"/>
                <w:sz w:val="24"/>
                <w:lang w:eastAsia="zh-CN"/>
              </w:rPr>
              <w:t>船舶</w:t>
            </w:r>
            <w:r w:rsidR="07CF2CC4">
              <w:rPr>
                <w:rFonts w:hint="eastAsia"/>
                <w:sz w:val="24"/>
                <w:lang w:eastAsia="zh-CN"/>
              </w:rPr>
              <w:t>感知</w:t>
            </w:r>
            <w:r w:rsidR="8F6BE144">
              <w:rPr>
                <w:rFonts w:hint="eastAsia"/>
                <w:sz w:val="24"/>
                <w:lang w:eastAsia="zh-CN"/>
              </w:rPr>
              <w:t>系统</w:t>
            </w:r>
            <w:r w:rsidR="CA3A4818">
              <w:rPr>
                <w:rFonts w:hint="eastAsia"/>
                <w:sz w:val="24"/>
                <w:lang w:eastAsia="zh-CN"/>
              </w:rPr>
              <w:t>的</w:t>
            </w:r>
            <w:r w:rsidR="E0DA270F">
              <w:rPr>
                <w:rFonts w:hint="eastAsia"/>
                <w:sz w:val="24"/>
                <w:lang w:eastAsia="zh-CN"/>
              </w:rPr>
              <w:t>设备</w:t>
            </w:r>
            <w:r w:rsidR="52E98C18">
              <w:rPr>
                <w:rFonts w:hint="eastAsia"/>
                <w:sz w:val="24"/>
                <w:lang w:eastAsia="zh-CN"/>
              </w:rPr>
              <w:t>配备</w:t>
            </w:r>
            <w:r w:rsidR="F685787C">
              <w:rPr>
                <w:rFonts w:hint="eastAsia"/>
                <w:sz w:val="24"/>
                <w:lang w:eastAsia="zh-CN"/>
              </w:rPr>
              <w:t>、</w:t>
            </w:r>
            <w:r w:rsidR="88776102">
              <w:rPr>
                <w:rFonts w:hint="eastAsia"/>
                <w:sz w:val="24"/>
                <w:lang w:eastAsia="zh-CN"/>
              </w:rPr>
              <w:t>接口</w:t>
            </w:r>
            <w:r w:rsidR="3C741E18">
              <w:rPr>
                <w:rFonts w:hint="eastAsia"/>
                <w:sz w:val="24"/>
                <w:lang w:eastAsia="zh-CN"/>
              </w:rPr>
              <w:t>、</w:t>
            </w:r>
            <w:r w:rsidR="3708E89E">
              <w:rPr>
                <w:rFonts w:hint="eastAsia"/>
                <w:sz w:val="24"/>
                <w:lang w:eastAsia="zh-CN"/>
              </w:rPr>
              <w:t>功能</w:t>
            </w:r>
            <w:r w:rsidR="FDB3619B">
              <w:rPr>
                <w:rFonts w:hint="eastAsia"/>
                <w:sz w:val="24"/>
                <w:lang w:eastAsia="zh-CN"/>
              </w:rPr>
              <w:t>、</w:t>
            </w:r>
            <w:r w:rsidR="2C072539">
              <w:rPr>
                <w:rFonts w:hint="eastAsia"/>
                <w:sz w:val="24"/>
                <w:lang w:eastAsia="zh-CN"/>
              </w:rPr>
              <w:t>安全</w:t>
            </w:r>
            <w:r w:rsidR="FF4BDACC">
              <w:rPr>
                <w:rFonts w:hint="eastAsia"/>
                <w:sz w:val="24"/>
                <w:lang w:eastAsia="zh-CN"/>
              </w:rPr>
              <w:t>及</w:t>
            </w:r>
            <w:r w:rsidR="304DCDFD">
              <w:rPr>
                <w:rFonts w:hint="eastAsia"/>
                <w:sz w:val="24"/>
                <w:lang w:eastAsia="zh-CN"/>
              </w:rPr>
              <w:t>设计</w:t>
            </w:r>
            <w:r w:rsidR="328D6FED">
              <w:rPr>
                <w:rFonts w:hint="eastAsia"/>
                <w:sz w:val="24"/>
                <w:lang w:eastAsia="zh-CN"/>
              </w:rPr>
              <w:t>验证</w:t>
            </w:r>
            <w:r w:rsidR="2FF79C0B">
              <w:rPr>
                <w:rFonts w:hint="eastAsia"/>
                <w:sz w:val="24"/>
              </w:rPr>
              <w:t>要求进行了细化</w:t>
            </w:r>
            <w:r w:rsidR="C48C86BC">
              <w:rPr>
                <w:rFonts w:hint="eastAsia"/>
                <w:sz w:val="24"/>
                <w:lang w:eastAsia="zh-CN"/>
              </w:rPr>
              <w:t>，</w:t>
            </w:r>
            <w:r w:rsidR="9486D43B">
              <w:rPr>
                <w:rFonts w:hint="eastAsia"/>
                <w:sz w:val="24"/>
                <w:lang w:eastAsia="zh-CN"/>
              </w:rPr>
              <w:t>助力</w:t>
            </w:r>
            <w:r w:rsidR="A4FC590B">
              <w:rPr>
                <w:rFonts w:hint="eastAsia"/>
                <w:sz w:val="24"/>
                <w:lang w:eastAsia="zh-CN"/>
              </w:rPr>
              <w:t>沿海</w:t>
            </w:r>
            <w:r w:rsidR="EF9F2206">
              <w:rPr>
                <w:rFonts w:ascii="宋体" w:cs="Times New Roman" w:eastAsia="宋体" w:hAnsi="Calibri" w:hint="default"/>
                <w:b w:val="false"/>
                <w:bCs w:val="false"/>
                <w:i w:val="false"/>
                <w:iCs w:val="false"/>
                <w:snapToGrid w:val="false"/>
                <w:color w:val="auto"/>
                <w:sz w:val="24"/>
                <w:szCs w:val="21"/>
                <w:highlight w:val="none"/>
                <w:vertAlign w:val="baseline"/>
                <w:em w:val="none"/>
                <w:lang w:val="en-GB" w:eastAsia="zh-CN"/>
              </w:rPr>
              <w:t>内河船舶智能感知系统的设计工作</w:t>
            </w:r>
            <w:r w:rsidR="1D2E2B8C">
              <w:rPr>
                <w:rFonts w:ascii="宋体" w:cs="Times New Roman" w:eastAsia="宋体" w:hAnsi="Calibri" w:hint="eastAsia"/>
                <w:b w:val="false"/>
                <w:bCs w:val="false"/>
                <w:i w:val="false"/>
                <w:iCs w:val="false"/>
                <w:snapToGrid w:val="false"/>
                <w:color w:val="auto"/>
                <w:sz w:val="24"/>
                <w:szCs w:val="21"/>
                <w:highlight w:val="none"/>
                <w:vertAlign w:val="baseline"/>
                <w:em w:val="none"/>
                <w:lang w:val="en-GB" w:eastAsia="zh-CN"/>
              </w:rPr>
              <w:t>。</w:t>
            </w:r>
          </w:p>
        </w:tc>
      </w:tr>
      <w:tr w14:paraId="0887777D">
        <w:tblPrEx/>
        <w:trPr>
          <w:trHeight w:val="581" w:hRule="atLeast"/>
          <w:jc w:val="center"/>
        </w:trPr>
        <w:tc>
          <w:tcPr>
            <w:tcW w:w="2025" w:type="dxa"/>
            <w:tcBorders/>
            <w:vAlign w:val="center"/>
          </w:tcPr>
          <w:p w14:paraId="23E5D4D0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标准适用范围和主要技术内容</w:t>
            </w:r>
          </w:p>
        </w:tc>
        <w:tc>
          <w:tcPr>
            <w:tcW w:w="7210" w:type="dxa"/>
            <w:gridSpan w:val="4"/>
            <w:tcBorders/>
          </w:tcPr>
          <w:p w14:paraId="4321F505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本标准规定了面向沿海内河远程驾控船舶的感知系统的设计依据、设计原则、设计内容、设计程序、设计方法和验证的要求。</w:t>
            </w:r>
          </w:p>
          <w:p w14:paraId="08C1A945">
            <w:pPr>
              <w:pStyle w:val="style0"/>
              <w:rPr>
                <w:i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本标准适用于沿海内河船舶智能感知系统的设计工作。</w:t>
            </w:r>
          </w:p>
        </w:tc>
      </w:tr>
      <w:tr w14:paraId="4E7A00C5">
        <w:tblPrEx/>
        <w:trPr>
          <w:trHeight w:val="437" w:hRule="atLeast"/>
          <w:jc w:val="center"/>
        </w:trPr>
        <w:tc>
          <w:tcPr>
            <w:tcW w:w="2025" w:type="dxa"/>
            <w:tcBorders/>
            <w:vAlign w:val="center"/>
          </w:tcPr>
          <w:p w14:paraId="4FFFAB75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工作进度安排</w:t>
            </w:r>
          </w:p>
        </w:tc>
        <w:tc>
          <w:tcPr>
            <w:tcW w:w="7210" w:type="dxa"/>
            <w:gridSpan w:val="4"/>
            <w:tcBorders/>
          </w:tcPr>
          <w:p w14:paraId="1E61986C"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1）草案提交 2025-3-30</w:t>
            </w:r>
          </w:p>
          <w:p w14:paraId="212136CF"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2）预期理想 2025-4-30</w:t>
            </w:r>
          </w:p>
          <w:p w14:paraId="1240794C"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3）标准发布 2026-3-30</w:t>
            </w:r>
          </w:p>
        </w:tc>
      </w:tr>
      <w:tr w14:paraId="01B5FE05">
        <w:tblPrEx/>
        <w:trPr>
          <w:trHeight w:val="581" w:hRule="atLeast"/>
          <w:jc w:val="center"/>
        </w:trPr>
        <w:tc>
          <w:tcPr>
            <w:tcW w:w="2025" w:type="dxa"/>
            <w:tcBorders/>
            <w:vAlign w:val="center"/>
          </w:tcPr>
          <w:p w14:paraId="397C6D31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标准预期实施</w:t>
            </w:r>
          </w:p>
          <w:p w14:paraId="7575D2A7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应用方案</w:t>
            </w:r>
          </w:p>
        </w:tc>
        <w:tc>
          <w:tcPr>
            <w:tcW w:w="7210" w:type="dxa"/>
            <w:gridSpan w:val="4"/>
            <w:tcBorders/>
            <w:vAlign w:val="center"/>
          </w:tcPr>
          <w:p w14:paraId="6E18E70D">
            <w:pPr>
              <w:pStyle w:val="style0"/>
              <w:ind w:firstLine="480" w:firstLineChars="200"/>
              <w:rPr>
                <w:rFonts w:hint="eastAsia"/>
                <w:sz w:val="24"/>
              </w:rPr>
            </w:pPr>
            <w:r w:rsidR="F7EB4A49">
              <w:rPr>
                <w:rFonts w:hint="eastAsia"/>
                <w:sz w:val="24"/>
              </w:rPr>
              <w:t>主编单位和各起草单位将积极推进标准宣传和培训，配合学会开展标准宣贯培训工作，使有关技术人员熟悉标并掌握标准的各项技术要求，加强示范效应，让标准在行业内得到广泛推广和应用，使标准的应用落到实处。</w:t>
            </w:r>
          </w:p>
          <w:p w14:paraId="441F596A">
            <w:pPr>
              <w:pStyle w:val="style0"/>
              <w:ind w:firstLine="480" w:firstLineChars="200"/>
              <w:rPr>
                <w:sz w:val="24"/>
              </w:rPr>
            </w:pPr>
            <w:r w:rsidR="A028BD4F">
              <w:rPr>
                <w:rFonts w:hint="eastAsia"/>
                <w:sz w:val="24"/>
              </w:rPr>
              <w:t>主编单位和各起草单位将对标准实施应用情况进行跟踪调查，及时发现标准执行过程中的问题，不断修改完善，提高标准水平，提高标准的科学性、合理性、协调性和可操作性。</w:t>
            </w:r>
          </w:p>
        </w:tc>
      </w:tr>
      <w:tr w14:paraId="41BB5D07">
        <w:tblPrEx/>
        <w:trPr>
          <w:trHeight w:val="447" w:hRule="atLeast"/>
          <w:jc w:val="center"/>
        </w:trPr>
        <w:tc>
          <w:tcPr>
            <w:tcW w:w="2025" w:type="dxa"/>
            <w:tcBorders/>
            <w:vAlign w:val="center"/>
          </w:tcPr>
          <w:p w14:paraId="3DDEB65F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经费保障</w:t>
            </w:r>
          </w:p>
        </w:tc>
        <w:tc>
          <w:tcPr>
            <w:tcW w:w="7210" w:type="dxa"/>
            <w:gridSpan w:val="4"/>
            <w:tcBorders/>
            <w:vAlign w:val="center"/>
          </w:tcPr>
          <w:p w14:paraId="240728F7">
            <w:pPr>
              <w:pStyle w:val="style0"/>
              <w:ind w:firstLine="480" w:firstLineChars="200"/>
              <w:rPr>
                <w:sz w:val="24"/>
              </w:rPr>
            </w:pPr>
            <w:r w:rsidR="8C82B42E">
              <w:rPr>
                <w:rFonts w:hint="eastAsia"/>
                <w:sz w:val="24"/>
              </w:rPr>
              <w:t>编制团队为标准编制提供必要的经费保障。</w:t>
            </w:r>
          </w:p>
        </w:tc>
      </w:tr>
      <w:tr w14:paraId="50AC8F26">
        <w:tblPrEx/>
        <w:trPr>
          <w:trHeight w:val="581" w:hRule="atLeast"/>
          <w:jc w:val="center"/>
        </w:trPr>
        <w:tc>
          <w:tcPr>
            <w:tcW w:w="2025" w:type="dxa"/>
            <w:tcBorders/>
            <w:vAlign w:val="center"/>
          </w:tcPr>
          <w:p w14:paraId="4BECB274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技术基础及</w:t>
            </w:r>
          </w:p>
          <w:p w14:paraId="5286EEF8">
            <w:pPr>
              <w:pStyle w:val="style0"/>
              <w:widowControl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4"/>
            <w:tcBorders/>
          </w:tcPr>
          <w:p w14:paraId="1D8A9057"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1）技术基础</w:t>
            </w:r>
          </w:p>
          <w:p w14:paraId="67D010D3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在技术基础方面，在本单位之前的项目工作中，以小型船舶为试验对象已经完成了大量水面智能图像处理、航行感知的关键技术试验，承担了子工程《2030型绿色智能沿海内河示范船》的任务一《沿海内河船舶智能技术研究（编号CBG4N21-4-1）》中的专题1“沿海内河船舶数字化智能化总体技术研究”与专题4“内河船舶辅助/自动靠离泊技术研究”，具有扎实的技术基础和丰富的项目经验。</w:t>
            </w:r>
          </w:p>
          <w:p w14:paraId="342269D6">
            <w:pPr>
              <w:pStyle w:val="style0"/>
              <w:rPr>
                <w:sz w:val="24"/>
              </w:rPr>
            </w:pPr>
            <w:r>
              <w:rPr>
                <w:rFonts w:hint="eastAsia"/>
                <w:sz w:val="24"/>
              </w:rPr>
              <w:t>2）研究团队</w:t>
            </w:r>
          </w:p>
          <w:p w14:paraId="274301E6">
            <w:pPr>
              <w:pStyle w:val="style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拥有一支理论和实践兼备的科研队伍，由具有硕士和博士学历且具有中高级称职的专业技术人员组成，职称结构合理且分工明确，既有船舶专业专攻操纵性方向的中青年专家，也有数学、计算机和控制专业毕业的技术骨干，此外，申报单位还有许多理论和实践兼备的复合型人才。这些人才条件为本标准的研究提供了人才保障。</w:t>
            </w:r>
          </w:p>
        </w:tc>
      </w:tr>
      <w:tr w14:paraId="1C5E98AD">
        <w:tblPrEx/>
        <w:trPr>
          <w:trHeight w:val="682" w:hRule="atLeast"/>
          <w:jc w:val="center"/>
        </w:trPr>
        <w:tc>
          <w:tcPr>
            <w:tcW w:w="2025" w:type="dxa"/>
            <w:tcBorders/>
            <w:vAlign w:val="center"/>
          </w:tcPr>
          <w:p w14:paraId="06FC804C"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申请立项单位</w:t>
            </w:r>
          </w:p>
          <w:p w14:paraId="1FD28EC5">
            <w:pPr>
              <w:pStyle w:val="style0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意见</w:t>
            </w:r>
          </w:p>
        </w:tc>
        <w:tc>
          <w:tcPr>
            <w:tcW w:w="7210" w:type="dxa"/>
            <w:gridSpan w:val="4"/>
            <w:tcBorders/>
            <w:vAlign w:val="bottom"/>
          </w:tcPr>
          <w:p w14:paraId="6BBBE704">
            <w:pPr>
              <w:pStyle w:val="style0"/>
              <w:wordWrap w:val="false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229A8149">
            <w:pPr>
              <w:pStyle w:val="style0"/>
              <w:jc w:val="right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7413DF70">
      <w:pPr>
        <w:pStyle w:val="style0"/>
        <w:jc w:val="left"/>
        <w:rPr>
          <w:rFonts w:ascii="仿宋_GB2312" w:eastAsia="仿宋_GB2312"/>
          <w:sz w:val="24"/>
        </w:rPr>
      </w:pPr>
      <w:r>
        <w:rPr>
          <w:rFonts w:hAnsi="宋体" w:hint="eastAsia"/>
        </w:rPr>
        <w:t>注：如本表空间不够，可另附页。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华文细黑">
    <w:altName w:val="华文细黑"/>
    <w:panose1 w:val="020106000400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002080304"/>
    <w:charset w:val="80"/>
    <w:family w:val="modern"/>
    <w:pitch w:val="fixed"/>
    <w:sig w:usb0="E00002FF" w:usb1="6AC7FDFB" w:usb2="00000012" w:usb3="00000000" w:csb0="0002009F" w:csb1="00000000"/>
  </w:font>
  <w:font w:name="Wingdings 2">
    <w:altName w:val="Wingdings 2"/>
    <w:panose1 w:val="05020102010005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宋体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snapToGrid w:val="false"/>
      <w:sz w:val="21"/>
      <w:szCs w:val="21"/>
      <w:lang w:val="en-GB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9"/>
    <w:uiPriority w:val="99"/>
    <w:pPr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uiPriority w:val="99"/>
    <w:pPr>
      <w:widowControl/>
      <w:spacing w:before="100" w:beforeAutospacing="true" w:after="100" w:afterAutospacing="true"/>
      <w:jc w:val="left"/>
    </w:pPr>
    <w:rPr>
      <w:rFonts w:cs="宋体" w:hAnsi="宋体"/>
      <w:snapToGrid/>
      <w:sz w:val="24"/>
      <w:szCs w:val="24"/>
      <w:lang w:val="en-US"/>
    </w:rPr>
  </w:style>
  <w:style w:type="table" w:styleId="style154">
    <w:name w:val="Table Grid"/>
    <w:basedOn w:val="style105"/>
    <w:next w:val="style154"/>
    <w:uiPriority w:val="59"/>
    <w:pPr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  <w:lang w:val="en-GB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  <w:lang w:val="en-GB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customStyle="1" w:styleId="style4099">
    <w:name w:val="批注框文本 字符"/>
    <w:basedOn w:val="style65"/>
    <w:next w:val="style4099"/>
    <w:link w:val="style153"/>
    <w:uiPriority w:val="99"/>
    <w:rPr>
      <w:sz w:val="18"/>
      <w:szCs w:val="18"/>
      <w:lang w:val="en-GB"/>
    </w:rPr>
  </w:style>
  <w:style w:type="paragraph" w:styleId="style178">
    <w:name w:val="Revision"/>
    <w:next w:val="style178"/>
    <w:uiPriority w:val="99"/>
    <w:pPr/>
    <w:rPr>
      <w:snapToGrid w:val="false"/>
      <w:sz w:val="21"/>
      <w:szCs w:val="21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848559-513A-4A2F-AB69-5F4F6B98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Words>1598</Words>
  <Pages>2</Pages>
  <Characters>1755</Characters>
  <Application>WPS Office</Application>
  <DocSecurity>0</DocSecurity>
  <Paragraphs>77</Paragraphs>
  <ScaleCrop>false</ScaleCrop>
  <Company>Hewlett-Packard Company</Company>
  <LinksUpToDate>false</LinksUpToDate>
  <CharactersWithSpaces>1833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2025-03-25T08:20:00Z</dcterms:created>
  <dc:creator>杨龙霞</dc:creator>
  <lastModifiedBy>2210132C</lastModifiedBy>
  <dcterms:modified xsi:type="dcterms:W3CDTF">2025-03-28T00:58:25Z</dcterms:modified>
  <revision>20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92a4483b47d14a02b23a8699690595c0_23</vt:lpwstr>
  </property>
</Properties>
</file>